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24" w:rsidRPr="00760624" w:rsidRDefault="00760624" w:rsidP="00760624">
      <w:pPr>
        <w:rPr>
          <w:rFonts w:ascii="Calibri" w:eastAsia="宋体" w:hAnsi="Calibri" w:cs="Times New Roman" w:hint="eastAsia"/>
          <w:sz w:val="28"/>
          <w:szCs w:val="28"/>
        </w:rPr>
      </w:pPr>
      <w:r w:rsidRPr="00760624">
        <w:rPr>
          <w:rFonts w:ascii="Calibri" w:eastAsia="宋体" w:hAnsi="Calibri" w:cs="Times New Roman" w:hint="eastAsia"/>
          <w:sz w:val="28"/>
          <w:szCs w:val="28"/>
        </w:rPr>
        <w:t>附件</w:t>
      </w:r>
      <w:r w:rsidRPr="00760624">
        <w:rPr>
          <w:rFonts w:ascii="Calibri" w:eastAsia="宋体" w:hAnsi="Calibri" w:cs="Times New Roman" w:hint="eastAsia"/>
          <w:sz w:val="28"/>
          <w:szCs w:val="28"/>
        </w:rPr>
        <w:t>1</w:t>
      </w:r>
      <w:r w:rsidRPr="00760624"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760624" w:rsidRPr="00760624" w:rsidRDefault="00760624" w:rsidP="00760624">
      <w:pPr>
        <w:adjustRightInd w:val="0"/>
        <w:spacing w:line="592" w:lineRule="exact"/>
        <w:jc w:val="center"/>
        <w:rPr>
          <w:rFonts w:ascii="宋体" w:eastAsia="宋体" w:hAnsi="宋体" w:cs="Times New Roman"/>
          <w:color w:val="000000"/>
          <w:sz w:val="28"/>
          <w:szCs w:val="28"/>
        </w:rPr>
      </w:pPr>
      <w:bookmarkStart w:id="0" w:name="_GoBack"/>
      <w:r w:rsidRPr="0076062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人才需求情况统计表</w:t>
      </w:r>
      <w:r w:rsidRPr="00760624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</w:p>
    <w:tbl>
      <w:tblPr>
        <w:tblW w:w="92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730"/>
        <w:gridCol w:w="254"/>
        <w:gridCol w:w="613"/>
        <w:gridCol w:w="25"/>
        <w:gridCol w:w="888"/>
        <w:gridCol w:w="1790"/>
        <w:gridCol w:w="1680"/>
        <w:gridCol w:w="70"/>
        <w:gridCol w:w="2757"/>
      </w:tblGrid>
      <w:tr w:rsidR="00760624" w:rsidRPr="00760624" w:rsidTr="008E2D9F">
        <w:trPr>
          <w:cantSplit/>
          <w:trHeight w:val="505"/>
          <w:jc w:val="center"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760624" w:rsidRPr="00760624" w:rsidTr="008E2D9F">
        <w:trPr>
          <w:cantSplit/>
          <w:trHeight w:val="505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widowControl/>
              <w:spacing w:line="360" w:lineRule="atLeast"/>
              <w:jc w:val="left"/>
              <w:rPr>
                <w:rFonts w:ascii="Calibri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proofErr w:type="gramStart"/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邮</w:t>
            </w:r>
            <w:proofErr w:type="gramEnd"/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 xml:space="preserve">    </w:t>
            </w: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编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760624" w:rsidRPr="00760624" w:rsidTr="008E2D9F">
        <w:trPr>
          <w:cantSplit/>
          <w:trHeight w:val="505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联</w:t>
            </w: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 xml:space="preserve"> </w:t>
            </w: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系</w:t>
            </w: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 xml:space="preserve"> </w:t>
            </w: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手</w:t>
            </w: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 xml:space="preserve">    </w:t>
            </w: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机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760624" w:rsidRPr="00760624" w:rsidTr="008E2D9F">
        <w:trPr>
          <w:cantSplit/>
          <w:trHeight w:val="505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QQ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企业网址</w:t>
            </w: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760624" w:rsidRPr="00760624" w:rsidTr="008E2D9F">
        <w:trPr>
          <w:cantSplit/>
          <w:trHeight w:val="2589"/>
          <w:jc w:val="center"/>
        </w:trPr>
        <w:tc>
          <w:tcPr>
            <w:tcW w:w="926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624" w:rsidRPr="00760624" w:rsidRDefault="00760624" w:rsidP="00760624">
            <w:pPr>
              <w:jc w:val="left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760624" w:rsidRPr="00760624" w:rsidTr="008E2D9F">
        <w:trPr>
          <w:cantSplit/>
          <w:trHeight w:val="464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需求岗位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薪酬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职位描述及要求</w:t>
            </w: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rPr>
                <w:rFonts w:ascii="宋体" w:eastAsia="宋体" w:hAnsi="宋体" w:cs="Times New Roman"/>
                <w:b/>
                <w:bCs/>
                <w:color w:val="000000"/>
                <w:sz w:val="11"/>
                <w:szCs w:val="11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624" w:rsidRPr="00760624" w:rsidTr="008E2D9F">
        <w:trPr>
          <w:trHeight w:val="50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32"/>
              </w:rPr>
            </w:pPr>
            <w:r w:rsidRPr="00760624">
              <w:rPr>
                <w:rFonts w:ascii="Calibri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624" w:rsidRPr="00760624" w:rsidRDefault="00760624" w:rsidP="0076062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仿宋_GB2312" w:hAnsi="宋体" w:cs="Times New Roman" w:hint="eastAsia"/>
          <w:sz w:val="32"/>
          <w:szCs w:val="32"/>
        </w:rPr>
      </w:pPr>
    </w:p>
    <w:p w:rsidR="00760624" w:rsidRPr="00760624" w:rsidRDefault="00760624" w:rsidP="00760624">
      <w:pPr>
        <w:tabs>
          <w:tab w:val="left" w:pos="3600"/>
        </w:tabs>
        <w:spacing w:line="400" w:lineRule="exact"/>
        <w:ind w:firstLineChars="100" w:firstLine="280"/>
        <w:jc w:val="left"/>
        <w:rPr>
          <w:rFonts w:ascii="宋体" w:eastAsia="宋体" w:hAnsi="宋体" w:cs="Times New Roman" w:hint="eastAsia"/>
          <w:color w:val="000000"/>
          <w:sz w:val="28"/>
          <w:szCs w:val="28"/>
        </w:rPr>
      </w:pPr>
      <w:r w:rsidRPr="00760624">
        <w:rPr>
          <w:rFonts w:ascii="宋体" w:eastAsia="宋体" w:hAnsi="宋体" w:cs="Times New Roman" w:hint="eastAsia"/>
          <w:color w:val="000000"/>
          <w:sz w:val="28"/>
          <w:szCs w:val="28"/>
        </w:rPr>
        <w:t>温岭市人才交流中心                 2020年12月9日印发</w:t>
      </w:r>
    </w:p>
    <w:p w:rsidR="00760624" w:rsidRPr="00760624" w:rsidRDefault="00760624" w:rsidP="00760624">
      <w:pPr>
        <w:pBdr>
          <w:bottom w:val="single" w:sz="12" w:space="0" w:color="auto"/>
        </w:pBdr>
        <w:spacing w:line="100" w:lineRule="exact"/>
        <w:rPr>
          <w:rFonts w:ascii="宋体" w:eastAsia="仿宋_GB2312" w:hAnsi="宋体" w:cs="Times New Roman" w:hint="eastAsia"/>
          <w:sz w:val="32"/>
          <w:szCs w:val="32"/>
        </w:rPr>
      </w:pPr>
    </w:p>
    <w:p w:rsidR="00760624" w:rsidRPr="00760624" w:rsidRDefault="00760624" w:rsidP="00760624">
      <w:pPr>
        <w:rPr>
          <w:rFonts w:ascii="Calibri" w:eastAsia="宋体" w:hAnsi="Calibri" w:cs="Times New Roman" w:hint="eastAsia"/>
          <w:szCs w:val="24"/>
        </w:rPr>
      </w:pPr>
    </w:p>
    <w:p w:rsidR="00165B4E" w:rsidRPr="00760624" w:rsidRDefault="00165B4E"/>
    <w:sectPr w:rsidR="00165B4E" w:rsidRPr="0076062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10" w:rsidRDefault="000A5210" w:rsidP="00760624">
      <w:r>
        <w:separator/>
      </w:r>
    </w:p>
  </w:endnote>
  <w:endnote w:type="continuationSeparator" w:id="0">
    <w:p w:rsidR="000A5210" w:rsidRDefault="000A5210" w:rsidP="0076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83" w:rsidRDefault="000A52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0624" w:rsidRPr="00760624">
      <w:rPr>
        <w:noProof/>
        <w:lang w:val="zh-CN" w:eastAsia="zh-CN"/>
      </w:rPr>
      <w:t>1</w:t>
    </w:r>
    <w:r>
      <w:fldChar w:fldCharType="end"/>
    </w:r>
  </w:p>
  <w:p w:rsidR="00B36D83" w:rsidRDefault="000A521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10" w:rsidRDefault="000A5210" w:rsidP="00760624">
      <w:r>
        <w:separator/>
      </w:r>
    </w:p>
  </w:footnote>
  <w:footnote w:type="continuationSeparator" w:id="0">
    <w:p w:rsidR="000A5210" w:rsidRDefault="000A5210" w:rsidP="0076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05"/>
    <w:rsid w:val="000A5210"/>
    <w:rsid w:val="000C3905"/>
    <w:rsid w:val="00165B4E"/>
    <w:rsid w:val="007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264</Characters>
  <Application>Microsoft Office Word</Application>
  <DocSecurity>0</DocSecurity>
  <Lines>2</Lines>
  <Paragraphs>1</Paragraphs>
  <ScaleCrop>false</ScaleCrop>
  <Company>Micorosoft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2020-12-17T02:18:00Z</dcterms:created>
  <dcterms:modified xsi:type="dcterms:W3CDTF">2020-12-17T02:18:00Z</dcterms:modified>
</cp:coreProperties>
</file>